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固定資産台帳</w:t>
      </w:r>
    </w:p>
    <w:p>
      <w:pPr>
        <w:jc w:val="center"/>
      </w:pPr>
      <w:r>
        <w:rPr>
          <w:rFonts w:ascii="游明朝" w:cs="游明朝" w:eastAsia="游明朝" w:hAnsi="游明朝"/>
          <w:sz w:val="20"/>
          <w:szCs w:val="20"/>
        </w:rPr>
        <w:t xml:space="preserve">株式会社みどり製作所　2026/04/01〜2027/03/31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固定資産台帳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名称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数量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使用開始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取得価額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方法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耐用年数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償却率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期首帳簿価額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当期償却額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期末帳簿価額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備考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マシニングセンタ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機械装置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2023-06-01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6,400,000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定率法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10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0.200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4,250,000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850,000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3,400,000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第1工場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ノートパソコン（設計用）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工具器具備品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2026-05-11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248,000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少額減価償却資産（全額）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248,000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248,000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営業車（ハイエース）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車両運搬具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2026-07-10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3,520,000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定率法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0.400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3,520,000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1,056,000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2,464,000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貨物自動車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2026-10-22T01:12:23.704Z</dcterms:created>
  <dcterms:modified xsi:type="dcterms:W3CDTF">2026-10-22T01:12:23.704Z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